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02337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38.141-1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0485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(</w:t>
            </w:r>
            <w:r>
              <w:rPr>
                <w:rFonts w:ascii="Arial" w:hAnsi="Arial"/>
              </w:rPr>
              <w:t>NR_FR1_lessthan_5MHz_BW</w:t>
            </w:r>
            <w:r>
              <w:rPr>
                <w:rFonts w:hint="eastAsia" w:ascii="Arial" w:hAnsi="Arial"/>
              </w:rPr>
              <w:t>-Perf</w:t>
            </w:r>
            <w:r>
              <w:rPr>
                <w:rFonts w:hint="eastAsia" w:eastAsiaTheme="minorEastAsia"/>
                <w:lang w:val="en-US" w:eastAsia="zh-CN"/>
              </w:rPr>
              <w:t xml:space="preserve">) </w:t>
            </w:r>
            <w:r>
              <w:rPr>
                <w:rFonts w:hint="default" w:eastAsiaTheme="minorEastAsia"/>
                <w:lang w:val="en-US" w:eastAsia="zh-CN"/>
              </w:rPr>
              <w:t>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>.1</w:t>
            </w:r>
            <w:r>
              <w:rPr>
                <w:rFonts w:hint="eastAsia" w:eastAsiaTheme="minorEastAsia"/>
                <w:lang w:val="en-US" w:eastAsia="zh-CN"/>
              </w:rPr>
              <w:t>41-1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Add </w:t>
            </w:r>
            <w:r>
              <w:t>NB-IoT RB power dynamic range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t>ccupied bandwidth</w:t>
            </w:r>
            <w:r>
              <w:rPr>
                <w:rFonts w:hint="eastAsia" w:eastAsia="宋体"/>
                <w:lang w:val="en-US" w:eastAsia="zh-CN"/>
              </w:rPr>
              <w:t xml:space="preserve"> requirement for 3MHz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/>
              </w:rPr>
              <w:t>NR_FR1_lessthan_5MHz_BW</w:t>
            </w:r>
            <w:r>
              <w:rPr>
                <w:rFonts w:hint="eastAsia" w:ascii="Arial" w:hAnsi="Arial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In R4-2316899, the agreement is N</w:t>
            </w:r>
            <w:r>
              <w:rPr>
                <w:szCs w:val="24"/>
                <w:lang w:eastAsia="zh-CN"/>
              </w:rPr>
              <w:t>B-IoT operation in NR in-band should be supported for 3 MHz channel bandwidth</w:t>
            </w:r>
            <w:r>
              <w:rPr>
                <w:rFonts w:hint="eastAsia" w:eastAsia="宋体"/>
                <w:lang w:val="en-US" w:eastAsia="zh-CN"/>
              </w:rPr>
              <w:t>. But</w:t>
            </w:r>
            <w:r>
              <w:t xml:space="preserve"> NB-IoT RB power dynamic range</w:t>
            </w:r>
            <w:r>
              <w:rPr>
                <w:rFonts w:hint="eastAsia" w:eastAsia="宋体"/>
                <w:lang w:val="en-US" w:eastAsia="zh-CN"/>
              </w:rPr>
              <w:t xml:space="preserve"> requirement for 3MHz is missing.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 xml:space="preserve">Add </w:t>
            </w:r>
            <w:r>
              <w:t>NB-IoT RB power dynamic range</w:t>
            </w:r>
            <w:r>
              <w:rPr>
                <w:rFonts w:hint="eastAsia" w:eastAsia="宋体"/>
                <w:lang w:val="en-US" w:eastAsia="zh-CN"/>
              </w:rPr>
              <w:t xml:space="preserve">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Requirements for </w:t>
            </w:r>
            <w:r>
              <w:t xml:space="preserve">3 MHz channel bandwidth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6.3.4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sz w:val="8"/>
          <w:szCs w:val="8"/>
        </w:rPr>
      </w:pPr>
    </w:p>
    <w:p>
      <w:pPr>
        <w:rPr>
          <w:sz w:val="8"/>
          <w:szCs w:val="8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0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4"/>
      </w:pPr>
      <w:bookmarkStart w:id="1" w:name="_Toc115191183"/>
      <w:bookmarkStart w:id="2" w:name="_Toc66727952"/>
      <w:bookmarkStart w:id="3" w:name="_Toc131537592"/>
      <w:bookmarkStart w:id="4" w:name="_Toc124155832"/>
      <w:bookmarkStart w:id="5" w:name="_Toc53182401"/>
      <w:bookmarkStart w:id="6" w:name="_Toc76545012"/>
      <w:bookmarkStart w:id="7" w:name="_Toc75242666"/>
      <w:bookmarkStart w:id="8" w:name="_Toc187256815"/>
      <w:bookmarkStart w:id="9" w:name="_Toc122013013"/>
      <w:bookmarkStart w:id="10" w:name="_Toc58860142"/>
      <w:bookmarkStart w:id="11" w:name="_Toc176944537"/>
      <w:bookmarkStart w:id="12" w:name="_Toc82595115"/>
      <w:bookmarkStart w:id="13" w:name="_Toc45884378"/>
      <w:bookmarkStart w:id="14" w:name="_Toc98773571"/>
      <w:bookmarkStart w:id="15" w:name="_Toc89955146"/>
      <w:bookmarkStart w:id="16" w:name="_Toc74961755"/>
      <w:bookmarkStart w:id="17" w:name="_Toc58862646"/>
      <w:bookmarkStart w:id="18" w:name="_Toc106201330"/>
      <w:bookmarkStart w:id="19" w:name="_Toc156576015"/>
      <w:bookmarkStart w:id="20" w:name="_Toc61182639"/>
      <w:bookmarkStart w:id="21" w:name="_Toc137397799"/>
      <w:bookmarkStart w:id="22" w:name="_Toc37272132"/>
      <w:bookmarkStart w:id="23" w:name="_Toc36645078"/>
      <w:r>
        <w:t>6.3.4</w:t>
      </w:r>
      <w:r>
        <w:tab/>
      </w:r>
      <w:r>
        <w:t>NB-IoT RB power dynamic range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5"/>
      </w:pPr>
      <w:bookmarkStart w:id="24" w:name="_Toc98773572"/>
      <w:bookmarkStart w:id="25" w:name="_Toc76545013"/>
      <w:bookmarkStart w:id="26" w:name="_Toc53182402"/>
      <w:bookmarkStart w:id="27" w:name="_Toc124155833"/>
      <w:bookmarkStart w:id="28" w:name="_Toc74961756"/>
      <w:bookmarkStart w:id="29" w:name="_Toc36645079"/>
      <w:bookmarkStart w:id="30" w:name="_Toc156576016"/>
      <w:bookmarkStart w:id="31" w:name="_Toc37272133"/>
      <w:bookmarkStart w:id="32" w:name="_Toc58862647"/>
      <w:bookmarkStart w:id="33" w:name="_Toc61182640"/>
      <w:bookmarkStart w:id="34" w:name="_Toc66727953"/>
      <w:bookmarkStart w:id="35" w:name="_Toc115191184"/>
      <w:bookmarkStart w:id="36" w:name="_Toc89955147"/>
      <w:bookmarkStart w:id="37" w:name="_Toc106201331"/>
      <w:bookmarkStart w:id="38" w:name="_Toc187256816"/>
      <w:bookmarkStart w:id="39" w:name="_Toc176944538"/>
      <w:bookmarkStart w:id="40" w:name="_Toc137397800"/>
      <w:bookmarkStart w:id="41" w:name="_Toc58860143"/>
      <w:bookmarkStart w:id="42" w:name="_Toc45884379"/>
      <w:bookmarkStart w:id="43" w:name="_Toc131537593"/>
      <w:bookmarkStart w:id="44" w:name="_Toc122013014"/>
      <w:bookmarkStart w:id="45" w:name="_Toc75242667"/>
      <w:bookmarkStart w:id="46" w:name="_Toc82595116"/>
      <w:r>
        <w:t>6.3.4.1</w:t>
      </w:r>
      <w:r>
        <w:tab/>
      </w:r>
      <w:r>
        <w:t>Definition and applicability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spacing w:line="240" w:lineRule="exact"/>
        <w:rPr>
          <w:rFonts w:cs="v5.0.0"/>
        </w:rPr>
      </w:pPr>
      <w:r>
        <w:t>The NB-IoT RB power dynamic range (or NB-IoT power boosting) is t</w:t>
      </w:r>
      <w:r>
        <w:rPr>
          <w:rFonts w:cs="v5.0.0"/>
        </w:rPr>
        <w:t>he difference between the average power of NB-IoT</w:t>
      </w:r>
      <w:r>
        <w:t xml:space="preserve"> REs (which occupy certain REs within a NR transmission bandwidth configuration plus 15 kHz at each edge but not within the NR minimum guard band GB</w:t>
      </w:r>
      <w:r>
        <w:rPr>
          <w:vertAlign w:val="subscript"/>
        </w:rPr>
        <w:t>Channel</w:t>
      </w:r>
      <w:r>
        <w:t xml:space="preserve">) and the average power over all </w:t>
      </w:r>
      <w:r>
        <w:rPr>
          <w:rFonts w:eastAsia="MS Mincho"/>
        </w:rPr>
        <w:t xml:space="preserve">REs </w:t>
      </w:r>
      <w:r>
        <w:t xml:space="preserve">(from </w:t>
      </w:r>
      <w:r>
        <w:rPr>
          <w:rFonts w:eastAsia="MS Mincho"/>
        </w:rPr>
        <w:t xml:space="preserve">both </w:t>
      </w:r>
      <w:r>
        <w:t>NB-IoT</w:t>
      </w:r>
      <w:r>
        <w:rPr>
          <w:rFonts w:eastAsia="宋体"/>
        </w:rPr>
        <w:t xml:space="preserve"> and the NR</w:t>
      </w:r>
      <w:r>
        <w:t xml:space="preserve"> carrier containing the NB-IoT REs).</w:t>
      </w:r>
    </w:p>
    <w:p>
      <w:pPr>
        <w:pStyle w:val="5"/>
      </w:pPr>
      <w:bookmarkStart w:id="47" w:name="_Toc53182403"/>
      <w:bookmarkStart w:id="48" w:name="_Toc98773573"/>
      <w:bookmarkStart w:id="49" w:name="_Toc74961757"/>
      <w:bookmarkStart w:id="50" w:name="_Toc75242668"/>
      <w:bookmarkStart w:id="51" w:name="_Toc187256817"/>
      <w:bookmarkStart w:id="52" w:name="_Toc115191185"/>
      <w:bookmarkStart w:id="53" w:name="_Toc156576017"/>
      <w:bookmarkStart w:id="54" w:name="_Toc45884380"/>
      <w:bookmarkStart w:id="55" w:name="_Toc137397801"/>
      <w:bookmarkStart w:id="56" w:name="_Toc58860144"/>
      <w:bookmarkStart w:id="57" w:name="_Toc89955148"/>
      <w:bookmarkStart w:id="58" w:name="_Toc82595117"/>
      <w:bookmarkStart w:id="59" w:name="_Toc66727954"/>
      <w:bookmarkStart w:id="60" w:name="_Toc58862648"/>
      <w:bookmarkStart w:id="61" w:name="_Toc36645080"/>
      <w:bookmarkStart w:id="62" w:name="_Toc176944539"/>
      <w:bookmarkStart w:id="63" w:name="_Toc76545014"/>
      <w:bookmarkStart w:id="64" w:name="_Toc37272134"/>
      <w:bookmarkStart w:id="65" w:name="_Toc122013015"/>
      <w:bookmarkStart w:id="66" w:name="_Toc124155834"/>
      <w:bookmarkStart w:id="67" w:name="_Toc61182641"/>
      <w:bookmarkStart w:id="68" w:name="_Toc106201332"/>
      <w:bookmarkStart w:id="69" w:name="_Toc131537594"/>
      <w:r>
        <w:t>6.3.4.2</w:t>
      </w:r>
      <w:r>
        <w:tab/>
      </w:r>
      <w:r>
        <w:t>Minimum requirement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r>
        <w:t xml:space="preserve">The minimum requirement applies per </w:t>
      </w:r>
      <w:r>
        <w:rPr>
          <w:i/>
        </w:rPr>
        <w:t>single-band connector</w:t>
      </w:r>
      <w:r>
        <w:t xml:space="preserve">, or per </w:t>
      </w:r>
      <w:r>
        <w:rPr>
          <w:i/>
        </w:rPr>
        <w:t>multi-band connector</w:t>
      </w:r>
      <w:r>
        <w:t>.</w:t>
      </w:r>
    </w:p>
    <w:p>
      <w:r>
        <w:t xml:space="preserve">The minimum requirement for </w:t>
      </w:r>
      <w:r>
        <w:rPr>
          <w:i/>
        </w:rPr>
        <w:t>BS type 1-C</w:t>
      </w:r>
      <w:r>
        <w:t xml:space="preserve"> is in TS 38.104 [2], clause 6.3.4.2.</w:t>
      </w:r>
    </w:p>
    <w:p>
      <w:pPr>
        <w:pStyle w:val="5"/>
      </w:pPr>
      <w:bookmarkStart w:id="70" w:name="_Toc58862649"/>
      <w:bookmarkStart w:id="71" w:name="_Toc74961758"/>
      <w:bookmarkStart w:id="72" w:name="_Toc37272135"/>
      <w:bookmarkStart w:id="73" w:name="_Toc89955149"/>
      <w:bookmarkStart w:id="74" w:name="_Toc187256818"/>
      <w:bookmarkStart w:id="75" w:name="_Toc58860145"/>
      <w:bookmarkStart w:id="76" w:name="_Toc75242669"/>
      <w:bookmarkStart w:id="77" w:name="_Toc66727955"/>
      <w:bookmarkStart w:id="78" w:name="_Toc115191186"/>
      <w:bookmarkStart w:id="79" w:name="_Toc76545015"/>
      <w:bookmarkStart w:id="80" w:name="_Toc45884381"/>
      <w:bookmarkStart w:id="81" w:name="_Toc53182404"/>
      <w:bookmarkStart w:id="82" w:name="_Toc176944540"/>
      <w:bookmarkStart w:id="83" w:name="_Toc137397802"/>
      <w:bookmarkStart w:id="84" w:name="_Toc124155835"/>
      <w:bookmarkStart w:id="85" w:name="_Toc106201333"/>
      <w:bookmarkStart w:id="86" w:name="_Toc82595118"/>
      <w:bookmarkStart w:id="87" w:name="_Toc122013016"/>
      <w:bookmarkStart w:id="88" w:name="_Toc98773574"/>
      <w:bookmarkStart w:id="89" w:name="_Toc36645081"/>
      <w:bookmarkStart w:id="90" w:name="_Toc61182642"/>
      <w:bookmarkStart w:id="91" w:name="_Toc131537595"/>
      <w:bookmarkStart w:id="92" w:name="_Toc156576018"/>
      <w:r>
        <w:t>6.3.4.3</w:t>
      </w:r>
      <w:r>
        <w:tab/>
      </w:r>
      <w:r>
        <w:t>Test purpose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r>
        <w:rPr>
          <w:rFonts w:eastAsia="MS P??" w:cs="v4.2.0"/>
        </w:rPr>
        <w:t>The test purpose is</w:t>
      </w:r>
      <w:r>
        <w:rPr>
          <w:rFonts w:cs="v4.2.0"/>
        </w:rPr>
        <w:t xml:space="preserve"> to verify that the</w:t>
      </w:r>
      <w:r>
        <w:t xml:space="preserve"> NB-IoT RB power dynamic range for NB-IoT operation in NR in-band </w:t>
      </w:r>
      <w:r>
        <w:rPr>
          <w:rFonts w:cs="v4.2.0"/>
        </w:rPr>
        <w:t>is met as specified by the minimum requirement.</w:t>
      </w:r>
    </w:p>
    <w:p>
      <w:pPr>
        <w:pStyle w:val="5"/>
      </w:pPr>
      <w:bookmarkStart w:id="93" w:name="_Toc89955150"/>
      <w:bookmarkStart w:id="94" w:name="_Toc156576019"/>
      <w:bookmarkStart w:id="95" w:name="_Toc75242670"/>
      <w:bookmarkStart w:id="96" w:name="_Toc58860146"/>
      <w:bookmarkStart w:id="97" w:name="_Toc122013017"/>
      <w:bookmarkStart w:id="98" w:name="_Toc37272136"/>
      <w:bookmarkStart w:id="99" w:name="_Toc61182643"/>
      <w:bookmarkStart w:id="100" w:name="_Toc131537596"/>
      <w:bookmarkStart w:id="101" w:name="_Toc74961759"/>
      <w:bookmarkStart w:id="102" w:name="_Toc53182405"/>
      <w:bookmarkStart w:id="103" w:name="_Toc36645082"/>
      <w:bookmarkStart w:id="104" w:name="_Toc45884382"/>
      <w:bookmarkStart w:id="105" w:name="_Toc82595119"/>
      <w:bookmarkStart w:id="106" w:name="_Toc137397803"/>
      <w:bookmarkStart w:id="107" w:name="_Toc106201334"/>
      <w:bookmarkStart w:id="108" w:name="_Toc115191187"/>
      <w:bookmarkStart w:id="109" w:name="_Toc98773575"/>
      <w:bookmarkStart w:id="110" w:name="_Toc76545016"/>
      <w:bookmarkStart w:id="111" w:name="_Toc124155836"/>
      <w:bookmarkStart w:id="112" w:name="_Toc187256819"/>
      <w:bookmarkStart w:id="113" w:name="_Toc176944541"/>
      <w:bookmarkStart w:id="114" w:name="_Toc66727956"/>
      <w:bookmarkStart w:id="115" w:name="_Toc58862650"/>
      <w:r>
        <w:t>6.3.4.4</w:t>
      </w:r>
      <w:r>
        <w:tab/>
      </w:r>
      <w:r>
        <w:t>Method of test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rPr>
          <w:rFonts w:cs="v4.2.0"/>
        </w:rPr>
      </w:pPr>
      <w:r>
        <w:t>Requirement is tested together with operating band unwanted emissions test, as described in clause 6.6.4.</w:t>
      </w:r>
    </w:p>
    <w:p>
      <w:pPr>
        <w:pStyle w:val="5"/>
      </w:pPr>
      <w:bookmarkStart w:id="116" w:name="_Toc82595120"/>
      <w:bookmarkStart w:id="117" w:name="_Toc75242671"/>
      <w:bookmarkStart w:id="118" w:name="_Toc137397804"/>
      <w:bookmarkStart w:id="119" w:name="_Toc156576020"/>
      <w:bookmarkStart w:id="120" w:name="_Toc176944542"/>
      <w:bookmarkStart w:id="121" w:name="_Toc131537597"/>
      <w:bookmarkStart w:id="122" w:name="_Toc187256820"/>
      <w:bookmarkStart w:id="123" w:name="_Toc37272137"/>
      <w:bookmarkStart w:id="124" w:name="_Toc66727957"/>
      <w:bookmarkStart w:id="125" w:name="_Toc89955151"/>
      <w:bookmarkStart w:id="126" w:name="_Toc45884383"/>
      <w:bookmarkStart w:id="127" w:name="_Toc36645083"/>
      <w:bookmarkStart w:id="128" w:name="_Toc106201335"/>
      <w:bookmarkStart w:id="129" w:name="_Toc61182644"/>
      <w:bookmarkStart w:id="130" w:name="_Toc76545017"/>
      <w:bookmarkStart w:id="131" w:name="_Toc98773576"/>
      <w:bookmarkStart w:id="132" w:name="_Toc53182406"/>
      <w:bookmarkStart w:id="133" w:name="_Toc74961760"/>
      <w:bookmarkStart w:id="134" w:name="_Toc122013018"/>
      <w:bookmarkStart w:id="135" w:name="_Toc58860147"/>
      <w:bookmarkStart w:id="136" w:name="_Toc58862651"/>
      <w:bookmarkStart w:id="137" w:name="_Toc124155837"/>
      <w:bookmarkStart w:id="138" w:name="_Toc115191188"/>
      <w:r>
        <w:t>6.3.4.5</w:t>
      </w:r>
      <w:r>
        <w:tab/>
      </w:r>
      <w:r>
        <w:t>Test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>
      <w:pPr>
        <w:spacing w:line="240" w:lineRule="exact"/>
        <w:rPr>
          <w:rFonts w:eastAsia="宋体"/>
        </w:rPr>
      </w:pPr>
      <w:r>
        <w:rPr>
          <w:rFonts w:eastAsia="宋体"/>
        </w:rPr>
        <w:t xml:space="preserve">NB-IoT RB power dynamic range </w:t>
      </w:r>
      <w:r>
        <w:t>for NB-IoT operation in NR in-band</w:t>
      </w:r>
      <w:r>
        <w:rPr>
          <w:rFonts w:eastAsia="宋体"/>
        </w:rPr>
        <w:t xml:space="preserve"> shall be larger than or equal to the level specified in Table 6.3.4.5-1 or the </w:t>
      </w:r>
      <w:r>
        <w:t>NB-IoT power dynamic range declared by the BS manufacturer (D.43)</w:t>
      </w:r>
      <w:r>
        <w:rPr>
          <w:rFonts w:eastAsia="宋体"/>
        </w:rPr>
        <w:t>. This power dynamic range level is only required for one NB-IoT RB.</w:t>
      </w:r>
    </w:p>
    <w:p>
      <w:pPr>
        <w:pStyle w:val="56"/>
      </w:pPr>
      <w:r>
        <w:t>Table 6.3.4.5-1: NB-IoT RB power dynamic range for NB-IoT operation in NR in-band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4817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BS channel bandwidth (MHz)</w:t>
            </w:r>
          </w:p>
        </w:tc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NB-IoT RB frequency position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NB-IoT RB power dynamic range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ins w:id="0" w:author="ZTE, Li Lu" w:date="2025-01-20T19:56:2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" w:author="ZTE, Li Lu" w:date="2025-01-20T19:56:27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lang w:val="fr-FR"/>
              </w:rPr>
              <w:t>5, 10</w:t>
            </w:r>
          </w:p>
        </w:tc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Any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+5.6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t>Within center 77*180kHz+15kHz at each edge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+5.6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</w:p>
        </w:tc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rPr>
                <w:lang w:val="fr-FR"/>
              </w:rPr>
              <w:t>Other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+2.6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t>Within center 102*180kHz+15kHz at each edge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+5.6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</w:p>
        </w:tc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rPr>
                <w:lang w:val="fr-FR"/>
              </w:rPr>
              <w:t>Other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+2.6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25, 30, 35, 40, 45, 50, 60, 70, 80, 90, 100</w:t>
            </w:r>
          </w:p>
        </w:tc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t>Within center 90% of BS channel bandwidth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val="fr-FR"/>
              </w:rPr>
            </w:pPr>
            <w:r>
              <w:rPr>
                <w:lang w:val="fr-FR"/>
              </w:rPr>
              <w:t>+5.6</w:t>
            </w:r>
          </w:p>
        </w:tc>
      </w:tr>
      <w:bookmarkEnd w:id="0"/>
    </w:tbl>
    <w:p>
      <w:pPr>
        <w:rPr>
          <w:b/>
          <w:bCs/>
        </w:rPr>
      </w:pPr>
      <w:bookmarkStart w:id="139" w:name="_GoBack"/>
      <w:bookmarkEnd w:id="139"/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Mincho">
    <w:altName w:val="Yu Gothic"/>
    <w:panose1 w:val="00000000000000000000"/>
    <w:charset w:val="80"/>
    <w:family w:val="roma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FB6CC7"/>
    <w:rsid w:val="024A2BFA"/>
    <w:rsid w:val="02735A50"/>
    <w:rsid w:val="02EF6F17"/>
    <w:rsid w:val="03662B4B"/>
    <w:rsid w:val="04C141EF"/>
    <w:rsid w:val="04E27F0B"/>
    <w:rsid w:val="05452235"/>
    <w:rsid w:val="056F4124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5140AE"/>
    <w:rsid w:val="0CC839FA"/>
    <w:rsid w:val="0D421EB4"/>
    <w:rsid w:val="0D883A4B"/>
    <w:rsid w:val="0D8B7F54"/>
    <w:rsid w:val="0ED33905"/>
    <w:rsid w:val="0F471140"/>
    <w:rsid w:val="0F5C4047"/>
    <w:rsid w:val="0F925AC8"/>
    <w:rsid w:val="106912EC"/>
    <w:rsid w:val="10DF5390"/>
    <w:rsid w:val="11535CDA"/>
    <w:rsid w:val="119F0F1F"/>
    <w:rsid w:val="13872FAB"/>
    <w:rsid w:val="16B07251"/>
    <w:rsid w:val="16C974F5"/>
    <w:rsid w:val="17552D92"/>
    <w:rsid w:val="17DE3219"/>
    <w:rsid w:val="1DF64BDF"/>
    <w:rsid w:val="1EBB6C6C"/>
    <w:rsid w:val="202078D0"/>
    <w:rsid w:val="22800F36"/>
    <w:rsid w:val="231D1CA3"/>
    <w:rsid w:val="2370110C"/>
    <w:rsid w:val="23EE57BB"/>
    <w:rsid w:val="241C73D4"/>
    <w:rsid w:val="2556666B"/>
    <w:rsid w:val="25655096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2D29F5"/>
    <w:rsid w:val="2CE94C27"/>
    <w:rsid w:val="2DD12A0D"/>
    <w:rsid w:val="2E9F50EF"/>
    <w:rsid w:val="2F7E2578"/>
    <w:rsid w:val="2F81476B"/>
    <w:rsid w:val="2FE42D91"/>
    <w:rsid w:val="2FF5428A"/>
    <w:rsid w:val="30226363"/>
    <w:rsid w:val="30DF35A3"/>
    <w:rsid w:val="32AC7A63"/>
    <w:rsid w:val="33742AF6"/>
    <w:rsid w:val="36AB1EB1"/>
    <w:rsid w:val="36FB52A1"/>
    <w:rsid w:val="37F04C60"/>
    <w:rsid w:val="38BB5645"/>
    <w:rsid w:val="39A52CDB"/>
    <w:rsid w:val="3A2178BC"/>
    <w:rsid w:val="3B696FB6"/>
    <w:rsid w:val="3BE15844"/>
    <w:rsid w:val="3C233866"/>
    <w:rsid w:val="3D2756F5"/>
    <w:rsid w:val="3D683D3C"/>
    <w:rsid w:val="3E7D435E"/>
    <w:rsid w:val="3F291190"/>
    <w:rsid w:val="3F6A7A1B"/>
    <w:rsid w:val="401A1FE7"/>
    <w:rsid w:val="40D36A7A"/>
    <w:rsid w:val="42852A53"/>
    <w:rsid w:val="43CE68AA"/>
    <w:rsid w:val="4560205F"/>
    <w:rsid w:val="45DF5204"/>
    <w:rsid w:val="468838FD"/>
    <w:rsid w:val="46CD6F14"/>
    <w:rsid w:val="47277642"/>
    <w:rsid w:val="487F2BDE"/>
    <w:rsid w:val="49EE2F52"/>
    <w:rsid w:val="4A41717C"/>
    <w:rsid w:val="4ABE5918"/>
    <w:rsid w:val="4AC66D69"/>
    <w:rsid w:val="4AF64BDF"/>
    <w:rsid w:val="4B181206"/>
    <w:rsid w:val="4CD034C5"/>
    <w:rsid w:val="4D215C75"/>
    <w:rsid w:val="4D5130D0"/>
    <w:rsid w:val="4D8D5BC8"/>
    <w:rsid w:val="4DCE3A17"/>
    <w:rsid w:val="4F2A4CA2"/>
    <w:rsid w:val="4FCF1E22"/>
    <w:rsid w:val="50B959CF"/>
    <w:rsid w:val="51A9145F"/>
    <w:rsid w:val="5256093E"/>
    <w:rsid w:val="528B1ED6"/>
    <w:rsid w:val="54023470"/>
    <w:rsid w:val="55D83684"/>
    <w:rsid w:val="57B33A39"/>
    <w:rsid w:val="59600776"/>
    <w:rsid w:val="5B0B3621"/>
    <w:rsid w:val="5DA057AA"/>
    <w:rsid w:val="5DFC7966"/>
    <w:rsid w:val="5F0470F0"/>
    <w:rsid w:val="60272B13"/>
    <w:rsid w:val="61B377DE"/>
    <w:rsid w:val="625873FA"/>
    <w:rsid w:val="6359330B"/>
    <w:rsid w:val="63645712"/>
    <w:rsid w:val="63F33D9D"/>
    <w:rsid w:val="66D13BEB"/>
    <w:rsid w:val="671E7B86"/>
    <w:rsid w:val="6871179A"/>
    <w:rsid w:val="687B0437"/>
    <w:rsid w:val="68D20407"/>
    <w:rsid w:val="6BCB7F53"/>
    <w:rsid w:val="6C4460A5"/>
    <w:rsid w:val="6D143461"/>
    <w:rsid w:val="6D237289"/>
    <w:rsid w:val="6F65559E"/>
    <w:rsid w:val="70C66A8C"/>
    <w:rsid w:val="70D516AA"/>
    <w:rsid w:val="715A4C61"/>
    <w:rsid w:val="72361390"/>
    <w:rsid w:val="73A80E1A"/>
    <w:rsid w:val="749D3C11"/>
    <w:rsid w:val="75584F77"/>
    <w:rsid w:val="75864C7B"/>
    <w:rsid w:val="7596101A"/>
    <w:rsid w:val="765C43B5"/>
    <w:rsid w:val="766320D3"/>
    <w:rsid w:val="774D2AFE"/>
    <w:rsid w:val="77A6153E"/>
    <w:rsid w:val="78594A31"/>
    <w:rsid w:val="78BE6326"/>
    <w:rsid w:val="78E168EA"/>
    <w:rsid w:val="79255C9B"/>
    <w:rsid w:val="792815B5"/>
    <w:rsid w:val="7ABD0A8D"/>
    <w:rsid w:val="7D537917"/>
    <w:rsid w:val="7E35622B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4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2025-02-20T13:09:18Z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EA76A59BBDAC4902B24F18C285DBF759</vt:lpwstr>
  </property>
</Properties>
</file>